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94</w:t>
      </w:r>
      <w:r>
        <w:rPr>
          <w:rFonts w:hint="eastAsia" w:ascii="Arial" w:hAnsi="Arial" w:eastAsia="宋体" w:cs="Arial"/>
          <w:b/>
          <w:sz w:val="24"/>
          <w:szCs w:val="24"/>
          <w:lang w:val="en-US" w:eastAsia="zh-CN"/>
        </w:rPr>
        <w:t>-e-</w:t>
      </w:r>
      <w:r>
        <w:rPr>
          <w:rFonts w:ascii="Arial" w:hAnsi="Arial" w:eastAsia="宋体" w:cs="Arial"/>
          <w:b/>
          <w:sz w:val="24"/>
          <w:szCs w:val="24"/>
          <w:lang w:eastAsia="zh-CN"/>
        </w:rPr>
        <w:t>bis</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R4-2002548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20</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30 Apr.,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Discussion on RRC re</w:t>
      </w:r>
      <w:r>
        <w:rPr>
          <w:rFonts w:hint="eastAsia" w:ascii="Arial" w:hAnsi="Arial" w:eastAsia="宋体" w:cs="Arial"/>
          <w:b/>
          <w:bCs/>
          <w:sz w:val="24"/>
          <w:lang w:val="en-US" w:eastAsia="zh-CN"/>
        </w:rPr>
        <w:t>-establishment</w:t>
      </w:r>
      <w:bookmarkEnd w:id="4"/>
      <w:r>
        <w:rPr>
          <w:rFonts w:hint="eastAsia" w:ascii="Arial" w:hAnsi="Arial" w:eastAsia="宋体" w:cs="Arial"/>
          <w:b/>
          <w:bCs/>
          <w:sz w:val="24"/>
          <w:lang w:val="en-US" w:eastAsia="zh-CN"/>
        </w:rPr>
        <w:t xml:space="preserve"> requirement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4.9.5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During RAN4 94-e, we brought up the issue of re-establishment requirement. This topic has been discussed without consensus. We re-iterate this paper and repeat our point.</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TS 38.133 [1], the delay requirement of RRC re-establishment procedure is defined. It</w:t>
      </w:r>
      <w:r>
        <w:rPr>
          <w:rFonts w:hint="default" w:eastAsia="宋体"/>
          <w:sz w:val="22"/>
          <w:szCs w:val="22"/>
          <w:lang w:val="en-US" w:eastAsia="zh-CN"/>
        </w:rPr>
        <w:t>’</w:t>
      </w:r>
      <w:r>
        <w:rPr>
          <w:rFonts w:hint="eastAsia" w:eastAsia="宋体"/>
          <w:sz w:val="22"/>
          <w:szCs w:val="22"/>
          <w:lang w:val="en-US" w:eastAsia="zh-CN"/>
        </w:rPr>
        <w:t xml:space="preserve">s stated that </w:t>
      </w:r>
      <w:r>
        <w:rPr>
          <w:rFonts w:hint="eastAsia" w:eastAsia="宋体"/>
          <w:lang w:val="en-US" w:eastAsia="zh-CN"/>
        </w:rPr>
        <w:t>t</w:t>
      </w:r>
      <w:r>
        <w:t>here is no requirement if the target cell does not contain the UE context</w:t>
      </w:r>
      <w:r>
        <w:rPr>
          <w:rFonts w:hint="eastAsia" w:eastAsia="宋体"/>
          <w:lang w:val="en-US" w:eastAsia="zh-CN"/>
        </w:rPr>
        <w:t>.</w:t>
      </w:r>
      <w:r>
        <w:rPr>
          <w:rFonts w:hint="eastAsia" w:eastAsia="宋体"/>
          <w:sz w:val="22"/>
          <w:szCs w:val="22"/>
          <w:lang w:val="en-US" w:eastAsia="zh-CN"/>
        </w:rPr>
        <w:t xml:space="preserve"> In this paper, we provide our view that this statement is not necessary since the UE is not aware whether the target cell contains UE context or not before sending </w:t>
      </w:r>
      <w:r>
        <w:rPr>
          <w:sz w:val="22"/>
          <w:szCs w:val="22"/>
          <w:lang w:val="en-GB"/>
        </w:rPr>
        <w:t xml:space="preserve">the </w:t>
      </w:r>
      <w:r>
        <w:rPr>
          <w:i/>
          <w:sz w:val="22"/>
          <w:szCs w:val="22"/>
          <w:lang w:val="en-GB"/>
        </w:rPr>
        <w:t>RRCReestablishmentRequest</w:t>
      </w:r>
      <w:r>
        <w:rPr>
          <w:sz w:val="22"/>
          <w:szCs w:val="22"/>
          <w:lang w:val="en-GB"/>
        </w:rPr>
        <w:t xml:space="preserve"> message</w:t>
      </w:r>
      <w:r>
        <w:rPr>
          <w:rFonts w:hint="eastAsia" w:eastAsia="宋体"/>
          <w:sz w:val="22"/>
          <w:szCs w:val="22"/>
          <w:lang w:val="en-US" w:eastAsia="zh-CN"/>
        </w:rPr>
        <w:t>.</w:t>
      </w:r>
    </w:p>
    <w:p>
      <w:pPr>
        <w:pStyle w:val="28"/>
        <w:jc w:val="both"/>
        <w:rPr>
          <w:rFonts w:hint="default" w:eastAsia="宋体"/>
          <w:lang w:val="en-US" w:eastAsia="zh-CN"/>
        </w:rPr>
      </w:pPr>
      <w:r>
        <w:t>2</w:t>
      </w:r>
      <w:r>
        <w:tab/>
      </w:r>
      <w:r>
        <w:rPr>
          <w:rFonts w:hint="eastAsia"/>
          <w:lang w:val="en-US" w:eastAsia="zh-CN"/>
        </w:rPr>
        <w:t>RRC re-establishment delay requirement</w:t>
      </w:r>
    </w:p>
    <w:p>
      <w:pPr>
        <w:rPr>
          <w:rFonts w:hint="default" w:eastAsia="宋体"/>
          <w:sz w:val="22"/>
          <w:szCs w:val="22"/>
          <w:lang w:val="en-US" w:eastAsia="zh-CN"/>
        </w:rPr>
      </w:pPr>
      <w:r>
        <w:rPr>
          <w:rFonts w:hint="eastAsia" w:eastAsia="宋体"/>
          <w:sz w:val="22"/>
          <w:szCs w:val="22"/>
          <w:lang w:val="en-US" w:eastAsia="zh-CN"/>
        </w:rPr>
        <w:t xml:space="preserve">The following text is copied from TS38.133 [1] (clause </w:t>
      </w:r>
      <w:bookmarkStart w:id="5" w:name="_Toc526331631"/>
      <w:r>
        <w:rPr>
          <w:lang w:val="en-US" w:eastAsia="zh-CN"/>
        </w:rPr>
        <w:t>6.2.1.2.1</w:t>
      </w:r>
      <w:r>
        <w:rPr>
          <w:lang w:val="en-US" w:eastAsia="zh-CN"/>
        </w:rPr>
        <w:tab/>
      </w:r>
      <w:r>
        <w:rPr>
          <w:lang w:val="en-US" w:eastAsia="zh-CN"/>
        </w:rPr>
        <w:t>UE Re-establishment delay requirement</w:t>
      </w:r>
      <w:bookmarkEnd w:id="5"/>
      <w:r>
        <w:rPr>
          <w:rFonts w:hint="eastAsia" w:eastAsia="宋体"/>
          <w:sz w:val="22"/>
          <w:szCs w:val="22"/>
          <w:lang w:val="en-US" w:eastAsia="zh-CN"/>
        </w:rPr>
        <w:t>):</w:t>
      </w:r>
    </w:p>
    <w:tbl>
      <w:tblPr>
        <w:tblStyle w:val="19"/>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6"/>
              <w:spacing w:after="200" w:line="276" w:lineRule="auto"/>
              <w:ind w:left="0" w:leftChars="0"/>
              <w:contextualSpacing/>
              <w:jc w:val="both"/>
              <w:rPr>
                <w:rFonts w:eastAsia="Calibri" w:cs="Times New Roman"/>
                <w:sz w:val="22"/>
                <w:szCs w:val="22"/>
                <w:vertAlign w:val="baseline"/>
                <w:lang w:val="en-GB"/>
              </w:rPr>
            </w:pPr>
            <w:r>
              <w:t>There is no requirement if the target cell does not contain the UE context.</w:t>
            </w:r>
          </w:p>
        </w:tc>
      </w:tr>
    </w:tbl>
    <w:p>
      <w:pPr>
        <w:rPr>
          <w:rFonts w:hint="default" w:eastAsia="宋体"/>
          <w:sz w:val="22"/>
          <w:szCs w:val="22"/>
          <w:lang w:val="en-US" w:eastAsia="zh-CN"/>
        </w:rPr>
      </w:pPr>
      <w:r>
        <w:rPr>
          <w:rFonts w:hint="eastAsia" w:eastAsia="宋体"/>
          <w:sz w:val="22"/>
          <w:szCs w:val="22"/>
          <w:lang w:val="en-US" w:eastAsia="zh-CN"/>
        </w:rPr>
        <w:t xml:space="preserve">In TS 38.331 [2], the conditions under which the UE would initiate </w:t>
      </w:r>
      <w:r>
        <w:rPr>
          <w:lang w:val="en-US" w:eastAsia="zh-CN"/>
        </w:rPr>
        <w:t>R</w:t>
      </w:r>
      <w:r>
        <w:rPr>
          <w:rFonts w:hint="eastAsia"/>
          <w:lang w:val="en-US" w:eastAsia="zh-CN"/>
        </w:rPr>
        <w:t>RC r</w:t>
      </w:r>
      <w:r>
        <w:rPr>
          <w:lang w:val="en-US" w:eastAsia="zh-CN"/>
        </w:rPr>
        <w:t>e-establishment</w:t>
      </w:r>
      <w:r>
        <w:rPr>
          <w:rFonts w:hint="eastAsia"/>
          <w:lang w:val="en-US" w:eastAsia="zh-CN"/>
        </w:rPr>
        <w:t xml:space="preserve"> </w:t>
      </w:r>
      <w:r>
        <w:rPr>
          <w:rFonts w:hint="eastAsia" w:eastAsia="宋体"/>
          <w:sz w:val="22"/>
          <w:szCs w:val="22"/>
          <w:lang w:val="en-US" w:eastAsia="zh-CN"/>
        </w:rPr>
        <w:t>are defined:</w:t>
      </w:r>
    </w:p>
    <w:tbl>
      <w:tblPr>
        <w:tblStyle w:val="19"/>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r>
              <w:t>The UE initiates the procedure when one of the following conditions is met:</w:t>
            </w:r>
          </w:p>
          <w:p>
            <w:pPr>
              <w:pStyle w:val="66"/>
              <w:rPr>
                <w:lang w:val="en-GB"/>
              </w:rPr>
            </w:pPr>
            <w:r>
              <w:rPr>
                <w:lang w:val="en-GB"/>
              </w:rPr>
              <w:t>1&gt;</w:t>
            </w:r>
            <w:r>
              <w:rPr>
                <w:lang w:val="en-GB"/>
              </w:rPr>
              <w:tab/>
            </w:r>
            <w:r>
              <w:rPr>
                <w:lang w:val="en-GB"/>
              </w:rPr>
              <w:t>upon detecting radio link failure of the MCG, in accordance with 5.3.10; or</w:t>
            </w:r>
          </w:p>
          <w:p>
            <w:pPr>
              <w:pStyle w:val="66"/>
              <w:rPr>
                <w:lang w:val="en-GB"/>
              </w:rPr>
            </w:pPr>
            <w:r>
              <w:rPr>
                <w:lang w:val="en-GB"/>
              </w:rPr>
              <w:t>1&gt;</w:t>
            </w:r>
            <w:r>
              <w:rPr>
                <w:lang w:val="en-GB"/>
              </w:rPr>
              <w:tab/>
            </w:r>
            <w:r>
              <w:rPr>
                <w:lang w:val="en-GB"/>
              </w:rPr>
              <w:t>upon re-configuration with sync failure of the MCG, in accordance with sub-clause 5.3.5.8.3; or</w:t>
            </w:r>
          </w:p>
          <w:p>
            <w:pPr>
              <w:pStyle w:val="66"/>
              <w:rPr>
                <w:lang w:val="en-GB"/>
              </w:rPr>
            </w:pPr>
            <w:r>
              <w:rPr>
                <w:lang w:val="en-GB"/>
              </w:rPr>
              <w:t>1&gt;</w:t>
            </w:r>
            <w:r>
              <w:rPr>
                <w:lang w:val="en-GB"/>
              </w:rPr>
              <w:tab/>
            </w:r>
            <w:r>
              <w:rPr>
                <w:lang w:val="en-GB"/>
              </w:rPr>
              <w:t>upon mobility from NR failure, in accordance with sub-clause 5.4.3.5; or</w:t>
            </w:r>
          </w:p>
          <w:p>
            <w:pPr>
              <w:pStyle w:val="66"/>
              <w:rPr>
                <w:lang w:val="en-GB"/>
              </w:rPr>
            </w:pPr>
            <w:r>
              <w:rPr>
                <w:lang w:val="en-GB"/>
              </w:rPr>
              <w:t>1&gt;</w:t>
            </w:r>
            <w:r>
              <w:rPr>
                <w:lang w:val="en-GB"/>
              </w:rPr>
              <w:tab/>
            </w:r>
            <w:r>
              <w:rPr>
                <w:lang w:val="en-GB"/>
              </w:rPr>
              <w:t xml:space="preserve">upon integrity check failure indication from lower layers concerning SRB1 or SRB2, except if the integrity check failure is detected on the </w:t>
            </w:r>
            <w:r>
              <w:rPr>
                <w:i/>
                <w:lang w:val="en-GB"/>
              </w:rPr>
              <w:t>RRCReestablishment</w:t>
            </w:r>
            <w:r>
              <w:rPr>
                <w:lang w:val="en-GB"/>
              </w:rPr>
              <w:t xml:space="preserve"> message; or</w:t>
            </w:r>
          </w:p>
          <w:p>
            <w:pPr>
              <w:pStyle w:val="66"/>
              <w:rPr>
                <w:rFonts w:eastAsia="Calibri" w:cs="Times New Roman"/>
                <w:sz w:val="22"/>
                <w:szCs w:val="22"/>
                <w:vertAlign w:val="baseline"/>
                <w:lang w:val="en-GB"/>
              </w:rPr>
            </w:pPr>
            <w:r>
              <w:rPr>
                <w:lang w:val="en-GB"/>
              </w:rPr>
              <w:t>1&gt;</w:t>
            </w:r>
            <w:r>
              <w:rPr>
                <w:lang w:val="en-GB"/>
              </w:rPr>
              <w:tab/>
            </w:r>
            <w:r>
              <w:rPr>
                <w:lang w:val="en-GB"/>
              </w:rPr>
              <w:t>upon an RRC connection reconfiguration failure, in accordance with sub-clause 5.3.5.8.2.</w:t>
            </w:r>
          </w:p>
        </w:tc>
      </w:tr>
    </w:tbl>
    <w:p>
      <w:pPr>
        <w:rPr>
          <w:rFonts w:hint="default" w:eastAsia="宋体"/>
          <w:i w:val="0"/>
          <w:iCs/>
          <w:sz w:val="22"/>
          <w:szCs w:val="22"/>
          <w:lang w:val="en-US" w:eastAsia="zh-CN"/>
        </w:rPr>
      </w:pPr>
      <w:r>
        <w:rPr>
          <w:rFonts w:hint="eastAsia" w:eastAsia="宋体"/>
          <w:sz w:val="22"/>
          <w:szCs w:val="22"/>
          <w:lang w:val="en-US" w:eastAsia="zh-CN"/>
        </w:rPr>
        <w:t>The procedure of the RRC re-establishment is illustrated as follows. If the target cell contains UE context, then t</w:t>
      </w:r>
      <w:r>
        <w:rPr>
          <w:sz w:val="22"/>
          <w:szCs w:val="22"/>
        </w:rPr>
        <w:t>he connection re-establishment succeeds</w:t>
      </w:r>
      <w:r>
        <w:rPr>
          <w:rFonts w:hint="eastAsia" w:eastAsia="宋体"/>
          <w:sz w:val="22"/>
          <w:szCs w:val="22"/>
          <w:lang w:val="en-US" w:eastAsia="zh-CN"/>
        </w:rPr>
        <w:t>.</w:t>
      </w:r>
      <w:r>
        <w:rPr>
          <w:sz w:val="22"/>
          <w:szCs w:val="22"/>
        </w:rPr>
        <w:t xml:space="preserve"> </w:t>
      </w:r>
      <w:r>
        <w:rPr>
          <w:rFonts w:hint="eastAsia" w:eastAsia="宋体"/>
          <w:sz w:val="22"/>
          <w:szCs w:val="22"/>
          <w:lang w:val="en-US" w:eastAsia="zh-CN"/>
        </w:rPr>
        <w:t>I</w:t>
      </w:r>
      <w:r>
        <w:rPr>
          <w:sz w:val="22"/>
          <w:szCs w:val="22"/>
        </w:rPr>
        <w:t xml:space="preserve">f the UE context cannot be retrieved, the network responds with an </w:t>
      </w:r>
      <w:r>
        <w:rPr>
          <w:i/>
          <w:sz w:val="22"/>
          <w:szCs w:val="22"/>
        </w:rPr>
        <w:t>RRCSetup</w:t>
      </w:r>
      <w:r>
        <w:rPr>
          <w:rFonts w:hint="eastAsia" w:eastAsia="宋体"/>
          <w:i/>
          <w:sz w:val="22"/>
          <w:szCs w:val="22"/>
          <w:lang w:val="en-US" w:eastAsia="zh-CN"/>
        </w:rPr>
        <w:t xml:space="preserve">. </w:t>
      </w:r>
      <w:r>
        <w:rPr>
          <w:rFonts w:hint="eastAsia" w:eastAsia="宋体"/>
          <w:i w:val="0"/>
          <w:iCs/>
          <w:sz w:val="22"/>
          <w:szCs w:val="22"/>
          <w:lang w:val="en-US" w:eastAsia="zh-CN"/>
        </w:rPr>
        <w:t xml:space="preserve">Before UE transmits </w:t>
      </w:r>
      <w:r>
        <w:rPr>
          <w:sz w:val="22"/>
          <w:szCs w:val="22"/>
          <w:lang w:val="en-GB"/>
        </w:rPr>
        <w:t xml:space="preserve">the </w:t>
      </w:r>
      <w:r>
        <w:rPr>
          <w:i/>
          <w:lang w:val="en-GB"/>
        </w:rPr>
        <w:t>RRCReestablishmentRequest</w:t>
      </w:r>
      <w:r>
        <w:rPr>
          <w:sz w:val="22"/>
          <w:szCs w:val="22"/>
          <w:lang w:val="en-GB"/>
        </w:rPr>
        <w:t xml:space="preserve"> message</w:t>
      </w:r>
      <w:r>
        <w:rPr>
          <w:rFonts w:hint="eastAsia" w:eastAsia="宋体"/>
          <w:sz w:val="22"/>
          <w:szCs w:val="22"/>
          <w:lang w:val="en-US" w:eastAsia="zh-CN"/>
        </w:rPr>
        <w:t xml:space="preserve">, the UE needs first select a suitable cell and transmits a PRACH to that cell. Upon receiving the PRACH, the network would respond with a RAR message, containing the TA information and the scheduling info for the UE to transmit </w:t>
      </w:r>
      <w:r>
        <w:rPr>
          <w:sz w:val="22"/>
          <w:szCs w:val="22"/>
          <w:lang w:val="en-GB"/>
        </w:rPr>
        <w:t xml:space="preserve">the </w:t>
      </w:r>
      <w:r>
        <w:rPr>
          <w:i/>
          <w:lang w:val="en-GB"/>
        </w:rPr>
        <w:t>RRCReestablishmentRequest</w:t>
      </w:r>
      <w:r>
        <w:rPr>
          <w:rFonts w:hint="eastAsia" w:eastAsia="宋体"/>
          <w:i/>
          <w:lang w:val="en-US" w:eastAsia="zh-CN"/>
        </w:rPr>
        <w:t xml:space="preserve"> </w:t>
      </w:r>
      <w:r>
        <w:rPr>
          <w:sz w:val="22"/>
          <w:szCs w:val="22"/>
          <w:lang w:val="en-GB"/>
        </w:rPr>
        <w:t>message</w:t>
      </w:r>
      <w:r>
        <w:rPr>
          <w:rFonts w:hint="eastAsia" w:eastAsia="宋体"/>
          <w:sz w:val="22"/>
          <w:szCs w:val="22"/>
          <w:lang w:val="en-US" w:eastAsia="zh-CN"/>
        </w:rPr>
        <w:t>. In TS 38.133, the delay requirement is defined for the cell identification and PRACH transmission. The delay requirement for the RRC procedures are defined in clause 12 in TS 38.331.</w:t>
      </w:r>
    </w:p>
    <w:p>
      <w:pPr>
        <w:jc w:val="center"/>
        <w:rPr>
          <w:rFonts w:hint="eastAsia" w:eastAsia="宋体"/>
          <w:sz w:val="22"/>
          <w:szCs w:val="22"/>
          <w:lang w:val="en-US" w:eastAsia="zh-CN"/>
        </w:rPr>
      </w:pPr>
      <w:r>
        <w:rPr>
          <w:rFonts w:hint="eastAsia" w:eastAsia="宋体"/>
          <w:sz w:val="22"/>
          <w:szCs w:val="22"/>
          <w:lang w:val="en-US" w:eastAsia="zh-CN"/>
        </w:rPr>
        <w:drawing>
          <wp:inline distT="0" distB="0" distL="114300" distR="114300">
            <wp:extent cx="2443480" cy="2242185"/>
            <wp:effectExtent l="0" t="0" r="13970" b="571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4"/>
                    <a:srcRect r="76206"/>
                    <a:stretch>
                      <a:fillRect/>
                    </a:stretch>
                  </pic:blipFill>
                  <pic:spPr>
                    <a:xfrm>
                      <a:off x="0" y="0"/>
                      <a:ext cx="2443480" cy="2242185"/>
                    </a:xfrm>
                    <a:prstGeom prst="rect">
                      <a:avLst/>
                    </a:prstGeom>
                  </pic:spPr>
                </pic:pic>
              </a:graphicData>
            </a:graphic>
          </wp:inline>
        </w:drawing>
      </w:r>
    </w:p>
    <w:p>
      <w:pPr>
        <w:jc w:val="center"/>
        <w:rPr>
          <w:rFonts w:hint="eastAsia" w:eastAsia="宋体"/>
          <w:sz w:val="22"/>
          <w:szCs w:val="22"/>
          <w:lang w:val="en-US" w:eastAsia="zh-CN"/>
        </w:rPr>
      </w:pPr>
      <w:r>
        <w:rPr>
          <w:rFonts w:hint="eastAsia" w:eastAsia="宋体"/>
          <w:sz w:val="22"/>
          <w:szCs w:val="22"/>
          <w:lang w:val="en-US" w:eastAsia="zh-CN"/>
        </w:rPr>
        <w:t>When NW contains UE context</w:t>
      </w:r>
    </w:p>
    <w:p>
      <w:pPr>
        <w:jc w:val="center"/>
        <w:rPr>
          <w:rFonts w:hint="default" w:eastAsia="宋体"/>
          <w:sz w:val="22"/>
          <w:szCs w:val="22"/>
          <w:lang w:val="en-US" w:eastAsia="zh-CN"/>
        </w:rPr>
      </w:pPr>
    </w:p>
    <w:p>
      <w:pPr>
        <w:jc w:val="center"/>
        <w:rPr>
          <w:rFonts w:hint="eastAsia" w:eastAsia="宋体"/>
          <w:sz w:val="22"/>
          <w:szCs w:val="22"/>
          <w:lang w:val="en-US" w:eastAsia="zh-CN"/>
        </w:rPr>
      </w:pPr>
      <w:r>
        <w:rPr>
          <w:rFonts w:hint="eastAsia" w:eastAsia="宋体"/>
          <w:sz w:val="22"/>
          <w:szCs w:val="22"/>
          <w:lang w:val="en-US" w:eastAsia="zh-CN"/>
        </w:rPr>
        <w:drawing>
          <wp:inline distT="0" distB="0" distL="114300" distR="114300">
            <wp:extent cx="2408555" cy="2066925"/>
            <wp:effectExtent l="0" t="0" r="0" b="9525"/>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5"/>
                    <a:srcRect l="24834" t="21541" r="24605"/>
                    <a:stretch>
                      <a:fillRect/>
                    </a:stretch>
                  </pic:blipFill>
                  <pic:spPr>
                    <a:xfrm>
                      <a:off x="0" y="0"/>
                      <a:ext cx="2408555" cy="2066925"/>
                    </a:xfrm>
                    <a:prstGeom prst="rect">
                      <a:avLst/>
                    </a:prstGeom>
                  </pic:spPr>
                </pic:pic>
              </a:graphicData>
            </a:graphic>
          </wp:inline>
        </w:drawing>
      </w:r>
    </w:p>
    <w:p>
      <w:pPr>
        <w:jc w:val="center"/>
        <w:rPr>
          <w:rFonts w:hint="default" w:eastAsia="宋体"/>
          <w:sz w:val="22"/>
          <w:szCs w:val="22"/>
          <w:lang w:val="en-US" w:eastAsia="zh-CN"/>
        </w:rPr>
      </w:pPr>
      <w:r>
        <w:rPr>
          <w:rFonts w:hint="eastAsia" w:eastAsia="宋体"/>
          <w:sz w:val="22"/>
          <w:szCs w:val="22"/>
          <w:lang w:val="en-US" w:eastAsia="zh-CN"/>
        </w:rPr>
        <w:t>When NW can</w:t>
      </w:r>
      <w:r>
        <w:rPr>
          <w:rFonts w:hint="default" w:eastAsia="宋体"/>
          <w:sz w:val="22"/>
          <w:szCs w:val="22"/>
          <w:lang w:val="en-US" w:eastAsia="zh-CN"/>
        </w:rPr>
        <w:t>’</w:t>
      </w:r>
      <w:r>
        <w:rPr>
          <w:rFonts w:hint="eastAsia" w:eastAsia="宋体"/>
          <w:sz w:val="22"/>
          <w:szCs w:val="22"/>
          <w:lang w:val="en-US" w:eastAsia="zh-CN"/>
        </w:rPr>
        <w:t>t retrieve UE context</w:t>
      </w:r>
    </w:p>
    <w:p>
      <w:pPr>
        <w:rPr>
          <w:rFonts w:hint="eastAsia" w:eastAsia="宋体"/>
          <w:sz w:val="22"/>
          <w:szCs w:val="22"/>
          <w:lang w:val="en-US" w:eastAsia="zh-CN"/>
        </w:rPr>
      </w:pPr>
      <w:r>
        <w:rPr>
          <w:rFonts w:hint="eastAsia" w:eastAsia="宋体"/>
          <w:sz w:val="22"/>
          <w:szCs w:val="22"/>
          <w:lang w:val="en-US" w:eastAsia="zh-CN"/>
        </w:rPr>
        <w:t xml:space="preserve">As shown in the illustrations, the UE would only know if the target cell contains UE context after receiving the network response for </w:t>
      </w:r>
      <w:r>
        <w:rPr>
          <w:i/>
          <w:sz w:val="22"/>
          <w:szCs w:val="22"/>
          <w:lang w:val="en-GB"/>
        </w:rPr>
        <w:t>RRCReestablishmentRequest</w:t>
      </w:r>
      <w:r>
        <w:rPr>
          <w:rFonts w:hint="eastAsia" w:eastAsia="宋体"/>
          <w:sz w:val="22"/>
          <w:szCs w:val="22"/>
          <w:lang w:val="en-US" w:eastAsia="zh-CN"/>
        </w:rPr>
        <w:t xml:space="preserve">. If the network responses with </w:t>
      </w:r>
      <w:r>
        <w:rPr>
          <w:i/>
          <w:sz w:val="22"/>
          <w:szCs w:val="22"/>
          <w:lang w:val="en-GB"/>
        </w:rPr>
        <w:t>RRCReestablishment</w:t>
      </w:r>
      <w:r>
        <w:rPr>
          <w:rFonts w:hint="eastAsia" w:eastAsia="宋体"/>
          <w:sz w:val="22"/>
          <w:szCs w:val="22"/>
          <w:lang w:val="en-US" w:eastAsia="zh-CN"/>
        </w:rPr>
        <w:t xml:space="preserve">, the UE can continue with the RRC re-establishment procedure. If the network responses with </w:t>
      </w:r>
      <w:r>
        <w:rPr>
          <w:i/>
          <w:sz w:val="22"/>
          <w:szCs w:val="22"/>
          <w:lang w:val="en-GB"/>
        </w:rPr>
        <w:t>RRC</w:t>
      </w:r>
      <w:r>
        <w:rPr>
          <w:rFonts w:hint="eastAsia" w:eastAsia="宋体"/>
          <w:i/>
          <w:sz w:val="22"/>
          <w:szCs w:val="22"/>
          <w:lang w:val="en-US" w:eastAsia="zh-CN"/>
        </w:rPr>
        <w:t>Setup</w:t>
      </w:r>
      <w:r>
        <w:rPr>
          <w:rFonts w:hint="eastAsia" w:eastAsia="宋体"/>
          <w:sz w:val="22"/>
          <w:szCs w:val="22"/>
          <w:lang w:val="en-US" w:eastAsia="zh-CN"/>
        </w:rPr>
        <w:t>, then the UE would know the network doesn</w:t>
      </w:r>
      <w:r>
        <w:rPr>
          <w:rFonts w:hint="default" w:eastAsia="宋体"/>
          <w:sz w:val="22"/>
          <w:szCs w:val="22"/>
          <w:lang w:val="en-US" w:eastAsia="zh-CN"/>
        </w:rPr>
        <w:t>’</w:t>
      </w:r>
      <w:r>
        <w:rPr>
          <w:rFonts w:hint="eastAsia" w:eastAsia="宋体"/>
          <w:sz w:val="22"/>
          <w:szCs w:val="22"/>
          <w:lang w:val="en-US" w:eastAsia="zh-CN"/>
        </w:rPr>
        <w:t xml:space="preserve">t have UE context and have to setup a new RRC connection. </w:t>
      </w:r>
    </w:p>
    <w:p>
      <w:pPr>
        <w:rPr>
          <w:rFonts w:hint="default" w:eastAsia="宋体"/>
          <w:sz w:val="22"/>
          <w:szCs w:val="22"/>
          <w:lang w:val="en-US" w:eastAsia="zh-CN"/>
        </w:rPr>
      </w:pPr>
      <w:r>
        <w:rPr>
          <w:rFonts w:hint="eastAsia" w:eastAsia="宋体"/>
          <w:sz w:val="22"/>
          <w:szCs w:val="22"/>
          <w:lang w:val="en-US" w:eastAsia="zh-CN"/>
        </w:rPr>
        <w:t>In RRC re-establishment procedure, the UE will measure and select a suitable cell to send PRACH. If the UE selects the same cell then it</w:t>
      </w:r>
      <w:r>
        <w:rPr>
          <w:rFonts w:hint="default" w:eastAsia="宋体"/>
          <w:sz w:val="22"/>
          <w:szCs w:val="22"/>
          <w:lang w:val="en-US" w:eastAsia="zh-CN"/>
        </w:rPr>
        <w:t>’</w:t>
      </w:r>
      <w:r>
        <w:rPr>
          <w:rFonts w:hint="eastAsia" w:eastAsia="宋体"/>
          <w:sz w:val="22"/>
          <w:szCs w:val="22"/>
          <w:lang w:val="en-US" w:eastAsia="zh-CN"/>
        </w:rPr>
        <w:t>s normal for the UE to assume that the target cell contains UE context. If the UE selects a different cell other than the old cell, it</w:t>
      </w:r>
      <w:r>
        <w:rPr>
          <w:rFonts w:hint="default" w:eastAsia="宋体"/>
          <w:sz w:val="22"/>
          <w:szCs w:val="22"/>
          <w:lang w:val="en-US" w:eastAsia="zh-CN"/>
        </w:rPr>
        <w:t>’</w:t>
      </w:r>
      <w:r>
        <w:rPr>
          <w:rFonts w:hint="eastAsia" w:eastAsia="宋体"/>
          <w:sz w:val="22"/>
          <w:szCs w:val="22"/>
          <w:lang w:val="en-US" w:eastAsia="zh-CN"/>
        </w:rPr>
        <w:t xml:space="preserve">s possible that the target cell and the old cell belongs to a same gNB, thus, making it possible for the target cell to get the UE context. Consequently, the only possible way for the UE to know if the target cell contains UE context is after sending </w:t>
      </w:r>
      <w:r>
        <w:rPr>
          <w:i/>
          <w:sz w:val="22"/>
          <w:szCs w:val="22"/>
          <w:lang w:val="en-GB"/>
        </w:rPr>
        <w:t>RRCReestablishmentRequest</w:t>
      </w:r>
      <w:r>
        <w:rPr>
          <w:rFonts w:hint="eastAsia" w:eastAsia="宋体"/>
          <w:i/>
          <w:sz w:val="22"/>
          <w:szCs w:val="22"/>
          <w:lang w:val="en-US" w:eastAsia="zh-CN"/>
        </w:rPr>
        <w:t xml:space="preserve"> </w:t>
      </w:r>
      <w:r>
        <w:rPr>
          <w:rFonts w:hint="eastAsia" w:eastAsia="宋体"/>
          <w:sz w:val="22"/>
          <w:szCs w:val="22"/>
          <w:lang w:val="en-US" w:eastAsia="zh-CN"/>
        </w:rPr>
        <w:t>and see what response the network sends back.</w:t>
      </w:r>
    </w:p>
    <w:p>
      <w:pPr>
        <w:rPr>
          <w:rFonts w:hint="default" w:eastAsia="宋体"/>
          <w:sz w:val="22"/>
          <w:szCs w:val="22"/>
          <w:lang w:val="en-US" w:eastAsia="zh-CN"/>
        </w:rPr>
      </w:pPr>
      <w:r>
        <w:rPr>
          <w:rFonts w:hint="eastAsia" w:eastAsia="宋体"/>
          <w:sz w:val="22"/>
          <w:szCs w:val="22"/>
          <w:lang w:val="en-US" w:eastAsia="zh-CN"/>
        </w:rPr>
        <w:t xml:space="preserve">In short, the UE is not aware of whether the network contains UE context before sending </w:t>
      </w:r>
      <w:r>
        <w:rPr>
          <w:i/>
          <w:sz w:val="22"/>
          <w:szCs w:val="22"/>
          <w:lang w:val="en-GB"/>
        </w:rPr>
        <w:t>RRCReestablishmentRequest</w:t>
      </w:r>
      <w:r>
        <w:rPr>
          <w:rFonts w:hint="eastAsia" w:eastAsia="宋体"/>
          <w:i/>
          <w:sz w:val="22"/>
          <w:szCs w:val="22"/>
          <w:lang w:val="en-US" w:eastAsia="zh-CN"/>
        </w:rPr>
        <w:t>.</w:t>
      </w:r>
      <w:r>
        <w:rPr>
          <w:rFonts w:hint="eastAsia" w:eastAsia="宋体"/>
          <w:i w:val="0"/>
          <w:iCs/>
          <w:sz w:val="22"/>
          <w:szCs w:val="22"/>
          <w:lang w:val="en-US" w:eastAsia="zh-CN"/>
        </w:rPr>
        <w:t xml:space="preserve"> Thus, the UE has to fulfill the delay requirement defined in clause 6.2.1.2.1 in TS 38.133 always.</w:t>
      </w:r>
    </w:p>
    <w:p>
      <w:pPr>
        <w:pStyle w:val="40"/>
        <w:rPr>
          <w:rFonts w:hint="default" w:eastAsia="宋体"/>
          <w:sz w:val="22"/>
          <w:szCs w:val="22"/>
          <w:lang w:val="en-US" w:eastAsia="zh-CN"/>
        </w:rPr>
      </w:pPr>
      <w:r>
        <w:rPr>
          <w:rFonts w:hint="eastAsia" w:eastAsia="宋体"/>
          <w:sz w:val="22"/>
          <w:szCs w:val="22"/>
          <w:lang w:val="en-US" w:eastAsia="zh-CN"/>
        </w:rPr>
        <w:t xml:space="preserve">The UE is not aware of whether the network contains UE context before sending </w:t>
      </w:r>
      <w:r>
        <w:rPr>
          <w:i/>
          <w:sz w:val="22"/>
          <w:szCs w:val="22"/>
          <w:lang w:val="en-GB"/>
        </w:rPr>
        <w:t>RRCReestablishmentRequest</w:t>
      </w:r>
      <w:r>
        <w:rPr>
          <w:rFonts w:hint="eastAsia" w:eastAsia="宋体"/>
          <w:i/>
          <w:sz w:val="22"/>
          <w:szCs w:val="22"/>
          <w:lang w:val="en-US" w:eastAsia="zh-CN"/>
        </w:rPr>
        <w:t>.</w:t>
      </w:r>
      <w:r>
        <w:rPr>
          <w:rFonts w:hint="eastAsia" w:eastAsia="宋体"/>
          <w:i w:val="0"/>
          <w:iCs/>
          <w:sz w:val="22"/>
          <w:szCs w:val="22"/>
          <w:lang w:val="en-US" w:eastAsia="zh-CN"/>
        </w:rPr>
        <w:t xml:space="preserve"> Thus, the UE has to fulfill the delay requirement defined in clause 6.2.1.2.1 in TS 38.133 always</w:t>
      </w:r>
      <w:r>
        <w:rPr>
          <w:rFonts w:hint="eastAsia" w:eastAsia="宋体"/>
          <w:sz w:val="22"/>
          <w:szCs w:val="22"/>
          <w:lang w:val="en-US" w:eastAsia="zh-CN"/>
        </w:rPr>
        <w:t>.</w:t>
      </w:r>
    </w:p>
    <w:p>
      <w:pPr>
        <w:rPr>
          <w:rFonts w:hint="eastAsia" w:eastAsia="宋体" w:cs="v4.2.0"/>
          <w:sz w:val="22"/>
          <w:szCs w:val="22"/>
          <w:vertAlign w:val="baseline"/>
          <w:lang w:val="en-US" w:eastAsia="zh-CN"/>
        </w:rPr>
      </w:pPr>
      <w:r>
        <w:rPr>
          <w:rFonts w:hint="eastAsia"/>
          <w:sz w:val="22"/>
          <w:szCs w:val="22"/>
          <w:lang w:val="en-US" w:eastAsia="zh-CN"/>
        </w:rPr>
        <w:t>Even if the network doesn</w:t>
      </w:r>
      <w:r>
        <w:rPr>
          <w:rFonts w:hint="default"/>
          <w:sz w:val="22"/>
          <w:szCs w:val="22"/>
          <w:lang w:val="en-US" w:eastAsia="zh-CN"/>
        </w:rPr>
        <w:t>’</w:t>
      </w:r>
      <w:r>
        <w:rPr>
          <w:rFonts w:hint="eastAsia"/>
          <w:sz w:val="22"/>
          <w:szCs w:val="22"/>
          <w:lang w:val="en-US" w:eastAsia="zh-CN"/>
        </w:rPr>
        <w:t xml:space="preserve">t have UE context, the network will initiate RRC setup process, which follows the cell measurement and selection procedure, SI reading and sending PRACH and then the </w:t>
      </w:r>
      <w:r>
        <w:rPr>
          <w:i/>
          <w:sz w:val="22"/>
          <w:szCs w:val="22"/>
          <w:lang w:val="en-GB"/>
        </w:rPr>
        <w:t>RRCReestablishmentRequest</w:t>
      </w:r>
      <w:r>
        <w:rPr>
          <w:rFonts w:hint="eastAsia" w:eastAsia="宋体"/>
          <w:i/>
          <w:sz w:val="22"/>
          <w:szCs w:val="22"/>
          <w:lang w:val="en-US" w:eastAsia="zh-CN"/>
        </w:rPr>
        <w:t xml:space="preserve"> </w:t>
      </w:r>
      <w:r>
        <w:rPr>
          <w:rFonts w:hint="eastAsia"/>
          <w:sz w:val="22"/>
          <w:szCs w:val="22"/>
          <w:lang w:val="en-US" w:eastAsia="zh-CN"/>
        </w:rPr>
        <w:t>message. Thus, even if the network doesn</w:t>
      </w:r>
      <w:r>
        <w:rPr>
          <w:rFonts w:hint="default"/>
          <w:sz w:val="22"/>
          <w:szCs w:val="22"/>
          <w:lang w:val="en-US" w:eastAsia="zh-CN"/>
        </w:rPr>
        <w:t>’</w:t>
      </w:r>
      <w:r>
        <w:rPr>
          <w:rFonts w:hint="eastAsia"/>
          <w:sz w:val="22"/>
          <w:szCs w:val="22"/>
          <w:lang w:val="en-US" w:eastAsia="zh-CN"/>
        </w:rPr>
        <w:t>t have UE context, which UE can</w:t>
      </w:r>
      <w:r>
        <w:rPr>
          <w:rFonts w:hint="default"/>
          <w:sz w:val="22"/>
          <w:szCs w:val="22"/>
          <w:lang w:val="en-US" w:eastAsia="zh-CN"/>
        </w:rPr>
        <w:t>’</w:t>
      </w:r>
      <w:r>
        <w:rPr>
          <w:rFonts w:hint="eastAsia"/>
          <w:sz w:val="22"/>
          <w:szCs w:val="22"/>
          <w:lang w:val="en-US" w:eastAsia="zh-CN"/>
        </w:rPr>
        <w:t>t be sure, there are following procedures to set up a new RRC connection.</w:t>
      </w:r>
      <w:r>
        <w:rPr>
          <w:rFonts w:hint="eastAsia" w:eastAsia="宋体" w:cs="v4.2.0"/>
          <w:sz w:val="22"/>
          <w:szCs w:val="22"/>
          <w:vertAlign w:val="baseline"/>
          <w:lang w:val="en-US" w:eastAsia="zh-CN"/>
        </w:rPr>
        <w:t xml:space="preserve"> In this sense, it also makes sense for the UE to meet the delay requirement even when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have UE context.</w:t>
      </w:r>
    </w:p>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 xml:space="preserve">As to the specification TS 38.133, having a line saying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 gives impression to readers that under some cases, the UE is certain that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t have UE context, which can be misleading. </w:t>
      </w:r>
    </w:p>
    <w:p>
      <w:pPr>
        <w:pStyle w:val="40"/>
        <w:rPr>
          <w:rFonts w:hint="default" w:eastAsia="宋体" w:cs="v4.2.0"/>
          <w:sz w:val="22"/>
          <w:szCs w:val="22"/>
          <w:vertAlign w:val="baseline"/>
          <w:lang w:val="en-US" w:eastAsia="zh-CN"/>
        </w:rPr>
      </w:pPr>
      <w:r>
        <w:rPr>
          <w:rFonts w:hint="eastAsia" w:eastAsia="宋体"/>
          <w:sz w:val="22"/>
          <w:szCs w:val="22"/>
          <w:lang w:val="en-US" w:eastAsia="zh-CN"/>
        </w:rPr>
        <w:t>H</w:t>
      </w:r>
      <w:r>
        <w:rPr>
          <w:rFonts w:hint="eastAsia" w:eastAsia="宋体" w:cs="v4.2.0"/>
          <w:sz w:val="22"/>
          <w:szCs w:val="22"/>
          <w:vertAlign w:val="baseline"/>
          <w:lang w:val="en-US" w:eastAsia="zh-CN"/>
        </w:rPr>
        <w:t xml:space="preserve">aving a line saying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 in the specification gives impression to readers that under some cases, the UE is certain that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have UE context, which can be misleading</w:t>
      </w:r>
      <w:r>
        <w:rPr>
          <w:rFonts w:hint="eastAsia" w:eastAsia="宋体"/>
          <w:sz w:val="22"/>
          <w:szCs w:val="22"/>
          <w:lang w:val="en-US" w:eastAsia="zh-CN"/>
        </w:rPr>
        <w:t>.</w:t>
      </w:r>
    </w:p>
    <w:p>
      <w:pPr>
        <w:pStyle w:val="36"/>
        <w:rPr>
          <w:rFonts w:hint="eastAsia"/>
          <w:sz w:val="22"/>
          <w:szCs w:val="22"/>
          <w:lang w:val="en-US" w:eastAsia="zh-CN"/>
        </w:rPr>
      </w:pPr>
      <w:r>
        <w:rPr>
          <w:rFonts w:hint="eastAsia" w:eastAsia="宋体"/>
          <w:sz w:val="22"/>
          <w:szCs w:val="22"/>
          <w:lang w:val="en-US" w:eastAsia="zh-CN"/>
        </w:rPr>
        <w:t>The UE shall meet the delay requirement always since it can</w:t>
      </w:r>
      <w:r>
        <w:rPr>
          <w:rFonts w:hint="default" w:eastAsia="宋体"/>
          <w:sz w:val="22"/>
          <w:szCs w:val="22"/>
          <w:lang w:val="en-US" w:eastAsia="zh-CN"/>
        </w:rPr>
        <w:t>’</w:t>
      </w:r>
      <w:r>
        <w:rPr>
          <w:rFonts w:hint="eastAsia" w:eastAsia="宋体"/>
          <w:sz w:val="22"/>
          <w:szCs w:val="22"/>
          <w:lang w:val="en-US" w:eastAsia="zh-CN"/>
        </w:rPr>
        <w:t>t be sure whether the network has UE context or not.</w:t>
      </w:r>
    </w:p>
    <w:p>
      <w:pPr>
        <w:pStyle w:val="36"/>
        <w:rPr>
          <w:rFonts w:hint="eastAsia"/>
          <w:lang w:val="en-US" w:eastAsia="zh-CN"/>
        </w:rPr>
      </w:pPr>
      <w:r>
        <w:rPr>
          <w:rFonts w:hint="eastAsia" w:eastAsia="宋体"/>
          <w:sz w:val="22"/>
          <w:szCs w:val="22"/>
          <w:lang w:val="en-US" w:eastAsia="zh-CN"/>
        </w:rPr>
        <w:t xml:space="preserve">Agree on the CRs [3][4]  to remove the statement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sz w:val="22"/>
          <w:szCs w:val="22"/>
          <w:lang w:val="en-US" w:eastAsia="zh-CN"/>
        </w:rPr>
        <w:t xml:space="preserve"> in the specification.</w:t>
      </w:r>
    </w:p>
    <w:p>
      <w:pPr>
        <w:pStyle w:val="28"/>
        <w:jc w:val="both"/>
      </w:pPr>
      <w:r>
        <w:rPr>
          <w:rFonts w:hint="eastAsia"/>
          <w:lang w:val="en-US" w:eastAsia="zh-CN"/>
        </w:rPr>
        <w:t>3</w:t>
      </w:r>
      <w:r>
        <w:tab/>
      </w:r>
      <w:r>
        <w:t>Conclusion</w:t>
      </w:r>
    </w:p>
    <w:p>
      <w:pPr>
        <w:pStyle w:val="30"/>
        <w:keepNext w:val="0"/>
        <w:keepLines w:val="0"/>
        <w:pageBreakBefore w:val="0"/>
        <w:widowControl/>
        <w:numPr>
          <w:ilvl w:val="0"/>
          <w:numId w:val="6"/>
        </w:numPr>
        <w:kinsoku/>
        <w:wordWrap/>
        <w:overflowPunct/>
        <w:topLinePunct w:val="0"/>
        <w:autoSpaceDE/>
        <w:autoSpaceDN/>
        <w:bidi w:val="0"/>
        <w:adjustRightInd/>
        <w:snapToGrid/>
        <w:spacing w:line="260" w:lineRule="auto"/>
        <w:ind w:left="0" w:firstLine="0"/>
        <w:textAlignment w:val="auto"/>
        <w:outlineLvl w:val="9"/>
        <w:rPr>
          <w:sz w:val="22"/>
          <w:szCs w:val="22"/>
        </w:rPr>
      </w:pPr>
      <w:r>
        <w:rPr>
          <w:rFonts w:hint="eastAsia" w:eastAsia="宋体"/>
          <w:sz w:val="22"/>
          <w:szCs w:val="22"/>
          <w:lang w:val="en-US" w:eastAsia="zh-CN"/>
        </w:rPr>
        <w:t xml:space="preserve">The UE is not aware of whether the network contains UE context before sending </w:t>
      </w:r>
      <w:r>
        <w:rPr>
          <w:i/>
          <w:sz w:val="22"/>
          <w:szCs w:val="22"/>
          <w:lang w:val="en-GB"/>
        </w:rPr>
        <w:t>RRCReestablishmentRequest</w:t>
      </w:r>
      <w:r>
        <w:rPr>
          <w:rFonts w:hint="eastAsia" w:eastAsia="宋体"/>
          <w:i/>
          <w:sz w:val="22"/>
          <w:szCs w:val="22"/>
          <w:lang w:val="en-US" w:eastAsia="zh-CN"/>
        </w:rPr>
        <w:t>.</w:t>
      </w:r>
      <w:r>
        <w:rPr>
          <w:rFonts w:hint="eastAsia" w:eastAsia="宋体"/>
          <w:i w:val="0"/>
          <w:iCs/>
          <w:sz w:val="22"/>
          <w:szCs w:val="22"/>
          <w:lang w:val="en-US" w:eastAsia="zh-CN"/>
        </w:rPr>
        <w:t xml:space="preserve"> Thus, the UE has to fulfill the delay requirement defined in clause 6.2.1.2.1 in TS 38.133 always</w:t>
      </w:r>
      <w:r>
        <w:rPr>
          <w:rFonts w:hint="eastAsia" w:eastAsia="宋体"/>
          <w:sz w:val="22"/>
          <w:szCs w:val="22"/>
          <w:lang w:val="en-US" w:eastAsia="zh-CN"/>
        </w:rPr>
        <w:t>.</w:t>
      </w:r>
    </w:p>
    <w:p>
      <w:pPr>
        <w:pStyle w:val="40"/>
        <w:rPr>
          <w:sz w:val="22"/>
          <w:szCs w:val="22"/>
        </w:rPr>
      </w:pPr>
      <w:r>
        <w:rPr>
          <w:rFonts w:hint="eastAsia" w:eastAsia="宋体"/>
          <w:sz w:val="22"/>
          <w:szCs w:val="22"/>
          <w:lang w:val="en-US" w:eastAsia="zh-CN"/>
        </w:rPr>
        <w:t>H</w:t>
      </w:r>
      <w:r>
        <w:rPr>
          <w:rFonts w:hint="eastAsia" w:eastAsia="宋体" w:cs="v4.2.0"/>
          <w:sz w:val="22"/>
          <w:szCs w:val="22"/>
          <w:vertAlign w:val="baseline"/>
          <w:lang w:val="en-US" w:eastAsia="zh-CN"/>
        </w:rPr>
        <w:t xml:space="preserve">aving a line saying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 in the specification gives impression to readers that under some cases, the UE is certain that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have UE context, which can be misleading</w:t>
      </w:r>
      <w:r>
        <w:rPr>
          <w:rFonts w:hint="eastAsia" w:eastAsia="宋体"/>
          <w:sz w:val="22"/>
          <w:szCs w:val="22"/>
          <w:lang w:val="en-US" w:eastAsia="zh-CN"/>
        </w:rPr>
        <w:t>.</w:t>
      </w:r>
    </w:p>
    <w:p>
      <w:pPr>
        <w:pStyle w:val="36"/>
        <w:numPr>
          <w:ilvl w:val="0"/>
          <w:numId w:val="0"/>
        </w:numPr>
        <w:ind w:leftChars="0"/>
        <w:rPr>
          <w:rFonts w:hint="eastAsia"/>
          <w:sz w:val="22"/>
          <w:szCs w:val="22"/>
          <w:lang w:val="en-US" w:eastAsia="zh-CN"/>
        </w:rPr>
      </w:pPr>
      <w:r>
        <w:rPr>
          <w:rFonts w:hint="eastAsia"/>
          <w:sz w:val="22"/>
          <w:szCs w:val="22"/>
          <w:lang w:val="en-US" w:eastAsia="zh-CN"/>
        </w:rPr>
        <w:t>Proposal 1: The UE shall meet the delay requirement always since it can</w:t>
      </w:r>
      <w:r>
        <w:rPr>
          <w:rFonts w:hint="default"/>
          <w:sz w:val="22"/>
          <w:szCs w:val="22"/>
          <w:lang w:val="en-US" w:eastAsia="zh-CN"/>
        </w:rPr>
        <w:t>’</w:t>
      </w:r>
      <w:r>
        <w:rPr>
          <w:rFonts w:hint="eastAsia"/>
          <w:sz w:val="22"/>
          <w:szCs w:val="22"/>
          <w:lang w:val="en-US" w:eastAsia="zh-CN"/>
        </w:rPr>
        <w:t>t be sure whether the network has UE context or not.</w:t>
      </w:r>
    </w:p>
    <w:p>
      <w:pPr>
        <w:pStyle w:val="36"/>
        <w:numPr>
          <w:ilvl w:val="0"/>
          <w:numId w:val="0"/>
        </w:numPr>
        <w:ind w:leftChars="0"/>
        <w:rPr>
          <w:rFonts w:hint="default"/>
          <w:sz w:val="22"/>
          <w:szCs w:val="22"/>
          <w:lang w:val="en-US" w:eastAsia="zh-CN"/>
        </w:rPr>
      </w:pPr>
      <w:r>
        <w:rPr>
          <w:rFonts w:hint="default"/>
          <w:sz w:val="22"/>
          <w:szCs w:val="22"/>
          <w:lang w:val="en-US" w:eastAsia="zh-CN"/>
        </w:rPr>
        <w:t xml:space="preserve">Proposal </w:t>
      </w:r>
      <w:r>
        <w:rPr>
          <w:rFonts w:hint="eastAsia"/>
          <w:sz w:val="22"/>
          <w:szCs w:val="22"/>
          <w:lang w:val="en-US" w:eastAsia="zh-CN"/>
        </w:rPr>
        <w:t>2</w:t>
      </w:r>
      <w:r>
        <w:rPr>
          <w:rFonts w:hint="default"/>
          <w:sz w:val="22"/>
          <w:szCs w:val="22"/>
          <w:lang w:val="en-US" w:eastAsia="zh-CN"/>
        </w:rPr>
        <w:t xml:space="preserve">: </w:t>
      </w:r>
      <w:r>
        <w:rPr>
          <w:rFonts w:hint="eastAsia" w:eastAsia="宋体"/>
          <w:sz w:val="22"/>
          <w:szCs w:val="22"/>
          <w:lang w:val="en-US" w:eastAsia="zh-CN"/>
        </w:rPr>
        <w:t xml:space="preserve">Agree on the CRs [3][4] to remove the statement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sz w:val="22"/>
          <w:szCs w:val="22"/>
          <w:lang w:val="en-US" w:eastAsia="zh-CN"/>
        </w:rPr>
        <w:t xml:space="preserve"> in the specification.</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6" w:name="_Ref2843888"/>
      <w:r>
        <w:rPr>
          <w:rFonts w:hint="eastAsia" w:eastAsia="宋体"/>
          <w:lang w:val="en-US" w:eastAsia="zh-CN"/>
        </w:rPr>
        <w:t>TS 38.133</w:t>
      </w:r>
      <w:r>
        <w:rPr>
          <w:lang w:val="en-GB"/>
        </w:rPr>
        <w:t>.</w:t>
      </w:r>
      <w:bookmarkEnd w:id="6"/>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TS 38.331; </w:t>
      </w:r>
      <w:r>
        <w:t>Radio Resource Control (RRC) protocol specification</w:t>
      </w:r>
      <w:r>
        <w:rPr>
          <w:rFonts w:hint="eastAsia" w:eastAsia="宋体"/>
          <w:lang w:val="en-US" w:eastAsia="zh-CN"/>
        </w:rPr>
        <w:t>.</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lang w:val="en-GB"/>
        </w:rPr>
        <w:t>R4-2002549</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lang w:val="en-GB"/>
        </w:rPr>
        <w:t>R4-20025</w:t>
      </w:r>
      <w:r>
        <w:rPr>
          <w:rFonts w:hint="eastAsia" w:eastAsia="宋体"/>
          <w:lang w:val="en-US" w:eastAsia="zh-CN"/>
        </w:rPr>
        <w:t>50</w:t>
      </w:r>
      <w:bookmarkStart w:id="7" w:name="_GoBack"/>
      <w:bookmarkEnd w:id="7"/>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448FD"/>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660D4"/>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16EDC"/>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9788D"/>
    <w:rsid w:val="016E368C"/>
    <w:rsid w:val="017B5E4B"/>
    <w:rsid w:val="018D054D"/>
    <w:rsid w:val="01FF08B3"/>
    <w:rsid w:val="026B051B"/>
    <w:rsid w:val="02B274E2"/>
    <w:rsid w:val="02C25D33"/>
    <w:rsid w:val="03C6506D"/>
    <w:rsid w:val="03F37217"/>
    <w:rsid w:val="04C77D0A"/>
    <w:rsid w:val="04D5204C"/>
    <w:rsid w:val="059B61E4"/>
    <w:rsid w:val="05A86143"/>
    <w:rsid w:val="06105DAC"/>
    <w:rsid w:val="062F1DED"/>
    <w:rsid w:val="069766CC"/>
    <w:rsid w:val="07502CA2"/>
    <w:rsid w:val="078B76F8"/>
    <w:rsid w:val="079C29C7"/>
    <w:rsid w:val="079D410C"/>
    <w:rsid w:val="080661C8"/>
    <w:rsid w:val="08641205"/>
    <w:rsid w:val="0868025F"/>
    <w:rsid w:val="0873226E"/>
    <w:rsid w:val="08935729"/>
    <w:rsid w:val="08C654D4"/>
    <w:rsid w:val="08CC5D10"/>
    <w:rsid w:val="092C45E6"/>
    <w:rsid w:val="099F556C"/>
    <w:rsid w:val="09C640C3"/>
    <w:rsid w:val="0A5763D4"/>
    <w:rsid w:val="0A7BF868"/>
    <w:rsid w:val="0AC12B88"/>
    <w:rsid w:val="0B2F05F5"/>
    <w:rsid w:val="0B38708C"/>
    <w:rsid w:val="0B7322DC"/>
    <w:rsid w:val="0BB77882"/>
    <w:rsid w:val="0C3566BC"/>
    <w:rsid w:val="0C3C5307"/>
    <w:rsid w:val="0C56263C"/>
    <w:rsid w:val="0C5E2B8A"/>
    <w:rsid w:val="0D102274"/>
    <w:rsid w:val="0D8B1463"/>
    <w:rsid w:val="0DA958CA"/>
    <w:rsid w:val="0DF104D3"/>
    <w:rsid w:val="0E1C586B"/>
    <w:rsid w:val="0E5237AB"/>
    <w:rsid w:val="0ED138E6"/>
    <w:rsid w:val="0EED584B"/>
    <w:rsid w:val="0F67780F"/>
    <w:rsid w:val="0F8F3C2A"/>
    <w:rsid w:val="0FB648CB"/>
    <w:rsid w:val="0FD0731A"/>
    <w:rsid w:val="0FF1533A"/>
    <w:rsid w:val="0FFE0AFA"/>
    <w:rsid w:val="10A34D44"/>
    <w:rsid w:val="10AA3C13"/>
    <w:rsid w:val="10CD0B75"/>
    <w:rsid w:val="110C4D24"/>
    <w:rsid w:val="122017FC"/>
    <w:rsid w:val="128409CA"/>
    <w:rsid w:val="12BB3A94"/>
    <w:rsid w:val="12EF585C"/>
    <w:rsid w:val="13262572"/>
    <w:rsid w:val="136D11EC"/>
    <w:rsid w:val="137D50D6"/>
    <w:rsid w:val="139B3B65"/>
    <w:rsid w:val="13D36053"/>
    <w:rsid w:val="13F75352"/>
    <w:rsid w:val="1480544B"/>
    <w:rsid w:val="14B36B91"/>
    <w:rsid w:val="164F667E"/>
    <w:rsid w:val="165D0583"/>
    <w:rsid w:val="16654289"/>
    <w:rsid w:val="16DB79C9"/>
    <w:rsid w:val="16F76B11"/>
    <w:rsid w:val="17141F2D"/>
    <w:rsid w:val="17A076C4"/>
    <w:rsid w:val="17A62BCE"/>
    <w:rsid w:val="17C22275"/>
    <w:rsid w:val="17E826AB"/>
    <w:rsid w:val="18D3414F"/>
    <w:rsid w:val="18D91924"/>
    <w:rsid w:val="19A96435"/>
    <w:rsid w:val="1A0B3A21"/>
    <w:rsid w:val="1B1547E1"/>
    <w:rsid w:val="1B3329B5"/>
    <w:rsid w:val="1B7F155B"/>
    <w:rsid w:val="1C6134BE"/>
    <w:rsid w:val="1C6A6128"/>
    <w:rsid w:val="1D1F1294"/>
    <w:rsid w:val="1E8806BC"/>
    <w:rsid w:val="1EA137E3"/>
    <w:rsid w:val="1EE66AFB"/>
    <w:rsid w:val="1F0936F5"/>
    <w:rsid w:val="1F17474D"/>
    <w:rsid w:val="1F2266E0"/>
    <w:rsid w:val="1F2B10F9"/>
    <w:rsid w:val="1F711839"/>
    <w:rsid w:val="1FD6703D"/>
    <w:rsid w:val="200D067C"/>
    <w:rsid w:val="20811B82"/>
    <w:rsid w:val="20A662B2"/>
    <w:rsid w:val="21091739"/>
    <w:rsid w:val="211451D0"/>
    <w:rsid w:val="2151075A"/>
    <w:rsid w:val="219E74A3"/>
    <w:rsid w:val="220539DF"/>
    <w:rsid w:val="22571B82"/>
    <w:rsid w:val="22920D1D"/>
    <w:rsid w:val="22C0245E"/>
    <w:rsid w:val="230B25C1"/>
    <w:rsid w:val="23514077"/>
    <w:rsid w:val="23855295"/>
    <w:rsid w:val="23B20773"/>
    <w:rsid w:val="23CF6D67"/>
    <w:rsid w:val="248F188B"/>
    <w:rsid w:val="24E91488"/>
    <w:rsid w:val="25077EC5"/>
    <w:rsid w:val="25151459"/>
    <w:rsid w:val="25630107"/>
    <w:rsid w:val="25962669"/>
    <w:rsid w:val="25C20278"/>
    <w:rsid w:val="262D62D9"/>
    <w:rsid w:val="26681CAB"/>
    <w:rsid w:val="267E5FCE"/>
    <w:rsid w:val="27572E0B"/>
    <w:rsid w:val="280C272A"/>
    <w:rsid w:val="28352D10"/>
    <w:rsid w:val="284E33F7"/>
    <w:rsid w:val="287A3770"/>
    <w:rsid w:val="293606FA"/>
    <w:rsid w:val="29517179"/>
    <w:rsid w:val="29E7086A"/>
    <w:rsid w:val="2A1219AD"/>
    <w:rsid w:val="2A394321"/>
    <w:rsid w:val="2AE26D3F"/>
    <w:rsid w:val="2AF8774D"/>
    <w:rsid w:val="2B0F6E62"/>
    <w:rsid w:val="2B4E55E6"/>
    <w:rsid w:val="2B7579C5"/>
    <w:rsid w:val="2B920B79"/>
    <w:rsid w:val="2BB04900"/>
    <w:rsid w:val="2C3A3275"/>
    <w:rsid w:val="2C495744"/>
    <w:rsid w:val="2CEE6B8D"/>
    <w:rsid w:val="2D233DAE"/>
    <w:rsid w:val="2D8E403A"/>
    <w:rsid w:val="2E0770FA"/>
    <w:rsid w:val="2E145F76"/>
    <w:rsid w:val="2EA86D09"/>
    <w:rsid w:val="2F32226B"/>
    <w:rsid w:val="2F376D10"/>
    <w:rsid w:val="2F596601"/>
    <w:rsid w:val="2FA231C5"/>
    <w:rsid w:val="308B65F2"/>
    <w:rsid w:val="3117229F"/>
    <w:rsid w:val="31395268"/>
    <w:rsid w:val="31950F1B"/>
    <w:rsid w:val="31A50177"/>
    <w:rsid w:val="320F0A18"/>
    <w:rsid w:val="32227D1D"/>
    <w:rsid w:val="32351CB2"/>
    <w:rsid w:val="324554E5"/>
    <w:rsid w:val="325D2B5A"/>
    <w:rsid w:val="327661FC"/>
    <w:rsid w:val="3288676B"/>
    <w:rsid w:val="32A12F92"/>
    <w:rsid w:val="32B33B5A"/>
    <w:rsid w:val="32EE27B2"/>
    <w:rsid w:val="33245EFA"/>
    <w:rsid w:val="33372789"/>
    <w:rsid w:val="333876C2"/>
    <w:rsid w:val="33484A1E"/>
    <w:rsid w:val="335F47E9"/>
    <w:rsid w:val="346E4104"/>
    <w:rsid w:val="3476470C"/>
    <w:rsid w:val="34D83C16"/>
    <w:rsid w:val="34FA5652"/>
    <w:rsid w:val="3509315E"/>
    <w:rsid w:val="351A4CC6"/>
    <w:rsid w:val="37705F34"/>
    <w:rsid w:val="377700B0"/>
    <w:rsid w:val="37846083"/>
    <w:rsid w:val="37AF7036"/>
    <w:rsid w:val="380927B5"/>
    <w:rsid w:val="3876150B"/>
    <w:rsid w:val="38D26F70"/>
    <w:rsid w:val="392739EA"/>
    <w:rsid w:val="392D38AD"/>
    <w:rsid w:val="3946679B"/>
    <w:rsid w:val="399A43EA"/>
    <w:rsid w:val="3A0F1960"/>
    <w:rsid w:val="3A166029"/>
    <w:rsid w:val="3A364B42"/>
    <w:rsid w:val="3AF216E5"/>
    <w:rsid w:val="3B02469B"/>
    <w:rsid w:val="3B30671A"/>
    <w:rsid w:val="3B5662AC"/>
    <w:rsid w:val="3C727D51"/>
    <w:rsid w:val="3CCE203C"/>
    <w:rsid w:val="3D0C1655"/>
    <w:rsid w:val="3D4E48C8"/>
    <w:rsid w:val="3D77737D"/>
    <w:rsid w:val="3DC04E13"/>
    <w:rsid w:val="3DD244E7"/>
    <w:rsid w:val="3E5B41D6"/>
    <w:rsid w:val="3ECE16FA"/>
    <w:rsid w:val="3F072EB0"/>
    <w:rsid w:val="3FF55768"/>
    <w:rsid w:val="40566CBF"/>
    <w:rsid w:val="405B0BEF"/>
    <w:rsid w:val="407921CE"/>
    <w:rsid w:val="40C04FE0"/>
    <w:rsid w:val="4117526A"/>
    <w:rsid w:val="41AA7137"/>
    <w:rsid w:val="41EC58FB"/>
    <w:rsid w:val="42381A71"/>
    <w:rsid w:val="426B0C9E"/>
    <w:rsid w:val="42841694"/>
    <w:rsid w:val="429266C7"/>
    <w:rsid w:val="42AF1322"/>
    <w:rsid w:val="42B30ACF"/>
    <w:rsid w:val="42E73C10"/>
    <w:rsid w:val="430903EA"/>
    <w:rsid w:val="43140EC2"/>
    <w:rsid w:val="43EE582E"/>
    <w:rsid w:val="43F92766"/>
    <w:rsid w:val="43FB3DA4"/>
    <w:rsid w:val="44022066"/>
    <w:rsid w:val="441C4006"/>
    <w:rsid w:val="449E489D"/>
    <w:rsid w:val="44B24294"/>
    <w:rsid w:val="451019FB"/>
    <w:rsid w:val="455B13AC"/>
    <w:rsid w:val="45CF3CD0"/>
    <w:rsid w:val="45D95F13"/>
    <w:rsid w:val="460567D8"/>
    <w:rsid w:val="462F25DF"/>
    <w:rsid w:val="46620161"/>
    <w:rsid w:val="477A6D83"/>
    <w:rsid w:val="47C304FD"/>
    <w:rsid w:val="47C357A6"/>
    <w:rsid w:val="47D77F02"/>
    <w:rsid w:val="487C3875"/>
    <w:rsid w:val="48977283"/>
    <w:rsid w:val="48FA3778"/>
    <w:rsid w:val="49896512"/>
    <w:rsid w:val="4996414B"/>
    <w:rsid w:val="49BA3D71"/>
    <w:rsid w:val="4A5C70F1"/>
    <w:rsid w:val="4AB61A05"/>
    <w:rsid w:val="4AF26B9D"/>
    <w:rsid w:val="4BB65435"/>
    <w:rsid w:val="4BCE1489"/>
    <w:rsid w:val="4BEA1EE4"/>
    <w:rsid w:val="4BFB2D49"/>
    <w:rsid w:val="4C293566"/>
    <w:rsid w:val="4C723787"/>
    <w:rsid w:val="4CF05EAC"/>
    <w:rsid w:val="4D102CB4"/>
    <w:rsid w:val="4D9E609E"/>
    <w:rsid w:val="4E0243C8"/>
    <w:rsid w:val="4EA61F19"/>
    <w:rsid w:val="4EB053BD"/>
    <w:rsid w:val="4FBC6FAF"/>
    <w:rsid w:val="4FC37410"/>
    <w:rsid w:val="4FDC68F3"/>
    <w:rsid w:val="50005DA1"/>
    <w:rsid w:val="502A6272"/>
    <w:rsid w:val="5041435B"/>
    <w:rsid w:val="50564CCA"/>
    <w:rsid w:val="505A1CB0"/>
    <w:rsid w:val="509778C7"/>
    <w:rsid w:val="511E1DE8"/>
    <w:rsid w:val="5154719F"/>
    <w:rsid w:val="51773E2A"/>
    <w:rsid w:val="51C53170"/>
    <w:rsid w:val="5280421D"/>
    <w:rsid w:val="52BF27F0"/>
    <w:rsid w:val="52FC10E1"/>
    <w:rsid w:val="535E62F0"/>
    <w:rsid w:val="5361709F"/>
    <w:rsid w:val="53705401"/>
    <w:rsid w:val="53752E8D"/>
    <w:rsid w:val="53832E83"/>
    <w:rsid w:val="53A74DC7"/>
    <w:rsid w:val="53C44BEA"/>
    <w:rsid w:val="53D45151"/>
    <w:rsid w:val="540D782C"/>
    <w:rsid w:val="542835DF"/>
    <w:rsid w:val="542F1421"/>
    <w:rsid w:val="544B51D2"/>
    <w:rsid w:val="544D013B"/>
    <w:rsid w:val="546C32BA"/>
    <w:rsid w:val="55352F87"/>
    <w:rsid w:val="5553143F"/>
    <w:rsid w:val="55B42DC5"/>
    <w:rsid w:val="56E81135"/>
    <w:rsid w:val="56FF2A90"/>
    <w:rsid w:val="57221ADC"/>
    <w:rsid w:val="573B229E"/>
    <w:rsid w:val="586B2608"/>
    <w:rsid w:val="58E20C36"/>
    <w:rsid w:val="592D7AE2"/>
    <w:rsid w:val="593554F0"/>
    <w:rsid w:val="5A3078C5"/>
    <w:rsid w:val="5AAC4CA7"/>
    <w:rsid w:val="5ADF3A74"/>
    <w:rsid w:val="5AE53367"/>
    <w:rsid w:val="5B0B0083"/>
    <w:rsid w:val="5B5559A3"/>
    <w:rsid w:val="5BC0364C"/>
    <w:rsid w:val="5BC3228B"/>
    <w:rsid w:val="5C3B1FEA"/>
    <w:rsid w:val="5C6A01BF"/>
    <w:rsid w:val="5D041ECD"/>
    <w:rsid w:val="5E2D4C21"/>
    <w:rsid w:val="5EE41E2E"/>
    <w:rsid w:val="5EF92809"/>
    <w:rsid w:val="5F0F00DA"/>
    <w:rsid w:val="5F520F91"/>
    <w:rsid w:val="5F5E6814"/>
    <w:rsid w:val="60017F85"/>
    <w:rsid w:val="6045086B"/>
    <w:rsid w:val="60745B63"/>
    <w:rsid w:val="61051332"/>
    <w:rsid w:val="62302F88"/>
    <w:rsid w:val="62812953"/>
    <w:rsid w:val="62B7743E"/>
    <w:rsid w:val="64116858"/>
    <w:rsid w:val="648D5222"/>
    <w:rsid w:val="64B2258D"/>
    <w:rsid w:val="64D35246"/>
    <w:rsid w:val="65596380"/>
    <w:rsid w:val="65997784"/>
    <w:rsid w:val="65C64C37"/>
    <w:rsid w:val="661E18B5"/>
    <w:rsid w:val="66AB371C"/>
    <w:rsid w:val="66AE1192"/>
    <w:rsid w:val="66C26880"/>
    <w:rsid w:val="66CA69C3"/>
    <w:rsid w:val="67DA4215"/>
    <w:rsid w:val="67E42DFA"/>
    <w:rsid w:val="680A09E1"/>
    <w:rsid w:val="6860443E"/>
    <w:rsid w:val="68EB3ADC"/>
    <w:rsid w:val="69462386"/>
    <w:rsid w:val="6A7016FE"/>
    <w:rsid w:val="6AFC6812"/>
    <w:rsid w:val="6B5E2EC6"/>
    <w:rsid w:val="6C42065A"/>
    <w:rsid w:val="6C6F44FD"/>
    <w:rsid w:val="6CD4731D"/>
    <w:rsid w:val="6D121910"/>
    <w:rsid w:val="6D3205F0"/>
    <w:rsid w:val="6DB702B4"/>
    <w:rsid w:val="6E1766F0"/>
    <w:rsid w:val="6E504618"/>
    <w:rsid w:val="6EB20078"/>
    <w:rsid w:val="6F5579D7"/>
    <w:rsid w:val="6F801AF8"/>
    <w:rsid w:val="6F8906F0"/>
    <w:rsid w:val="6F8D5AAE"/>
    <w:rsid w:val="6FFF59CB"/>
    <w:rsid w:val="70160759"/>
    <w:rsid w:val="70200B37"/>
    <w:rsid w:val="70336F79"/>
    <w:rsid w:val="7037013D"/>
    <w:rsid w:val="704E4A67"/>
    <w:rsid w:val="70995673"/>
    <w:rsid w:val="70AA0AC2"/>
    <w:rsid w:val="70EA7511"/>
    <w:rsid w:val="71143E21"/>
    <w:rsid w:val="72867A39"/>
    <w:rsid w:val="72C82EA5"/>
    <w:rsid w:val="72EE3608"/>
    <w:rsid w:val="7327462F"/>
    <w:rsid w:val="732F59FD"/>
    <w:rsid w:val="732F7900"/>
    <w:rsid w:val="734B5574"/>
    <w:rsid w:val="7355417D"/>
    <w:rsid w:val="736C3FBB"/>
    <w:rsid w:val="73A85DC8"/>
    <w:rsid w:val="73C32C41"/>
    <w:rsid w:val="74573DE9"/>
    <w:rsid w:val="749900DE"/>
    <w:rsid w:val="74D53B99"/>
    <w:rsid w:val="75206F1B"/>
    <w:rsid w:val="753A7704"/>
    <w:rsid w:val="754C1AAF"/>
    <w:rsid w:val="76761DE7"/>
    <w:rsid w:val="76991F3B"/>
    <w:rsid w:val="76D8737F"/>
    <w:rsid w:val="76E279D7"/>
    <w:rsid w:val="772E0626"/>
    <w:rsid w:val="7752184A"/>
    <w:rsid w:val="7754709D"/>
    <w:rsid w:val="776E285A"/>
    <w:rsid w:val="779E3171"/>
    <w:rsid w:val="77B02D8D"/>
    <w:rsid w:val="77C0093D"/>
    <w:rsid w:val="77C90B9C"/>
    <w:rsid w:val="78384CBC"/>
    <w:rsid w:val="784258BF"/>
    <w:rsid w:val="78654C62"/>
    <w:rsid w:val="78F44922"/>
    <w:rsid w:val="793758F2"/>
    <w:rsid w:val="79DC6C3F"/>
    <w:rsid w:val="79ED4DBE"/>
    <w:rsid w:val="7A250260"/>
    <w:rsid w:val="7A787ECB"/>
    <w:rsid w:val="7A8B51CB"/>
    <w:rsid w:val="7AB507FA"/>
    <w:rsid w:val="7AC634CB"/>
    <w:rsid w:val="7AD2745F"/>
    <w:rsid w:val="7C3A7105"/>
    <w:rsid w:val="7C41564D"/>
    <w:rsid w:val="7C8E16C9"/>
    <w:rsid w:val="7CB561C0"/>
    <w:rsid w:val="7CCC277F"/>
    <w:rsid w:val="7CE3033A"/>
    <w:rsid w:val="7D0A2590"/>
    <w:rsid w:val="7D54493D"/>
    <w:rsid w:val="7D550752"/>
    <w:rsid w:val="7D6A7A29"/>
    <w:rsid w:val="7DCC5A45"/>
    <w:rsid w:val="7E8B6D0C"/>
    <w:rsid w:val="7F285EA4"/>
    <w:rsid w:val="7F787EDB"/>
    <w:rsid w:val="7FDD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rPr>
      <w:sz w:val="24"/>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1</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2020-04-10T09:54:52Z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